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before="0" w:line="276" w:lineRule="auto"/>
        <w:ind w:left="0" w:right="0" w:firstLine="0"/>
        <w:jc w:val="both"/>
        <w:rPr>
          <w:rFonts w:ascii="Calibri" w:cs="Calibri" w:eastAsia="Calibri" w:hAnsi="Calibri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widowControl w:val="0"/>
        <w:spacing w:before="0" w:line="276" w:lineRule="auto"/>
        <w:ind w:left="0" w:right="0" w:firstLine="0"/>
        <w:jc w:val="center"/>
        <w:rPr>
          <w:rFonts w:ascii="Calibri" w:cs="Calibri" w:eastAsia="Calibri" w:hAnsi="Calibri"/>
          <w:sz w:val="32"/>
          <w:szCs w:val="3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u w:val="single"/>
          <w:rtl w:val="0"/>
        </w:rPr>
        <w:t xml:space="preserve">ANEXO II DO </w:t>
      </w: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u w:val="single"/>
          <w:rtl w:val="0"/>
        </w:rPr>
        <w:t xml:space="preserve">TERMO DE REFERÊNCIA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before="0" w:line="276" w:lineRule="auto"/>
        <w:ind w:left="0" w:right="0" w:firstLine="0"/>
        <w:jc w:val="center"/>
        <w:rPr>
          <w:rFonts w:ascii="Calibri" w:cs="Calibri" w:eastAsia="Calibri" w:hAnsi="Calibri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spacing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u w:val="single"/>
          <w:rtl w:val="0"/>
        </w:rPr>
        <w:t xml:space="preserve">ESPECIFICAÇÕES TÉCNICAS</w:t>
      </w:r>
    </w:p>
    <w:p w:rsidR="00000000" w:rsidDel="00000000" w:rsidP="00000000" w:rsidRDefault="00000000" w:rsidRPr="00000000" w14:paraId="00000005">
      <w:pPr>
        <w:pageBreakBefore w:val="0"/>
        <w:widowControl w:val="0"/>
        <w:spacing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widowControl w:val="0"/>
        <w:tabs>
          <w:tab w:val="left" w:leader="none" w:pos="8505"/>
        </w:tabs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2"/>
        </w:numPr>
        <w:spacing w:line="276" w:lineRule="auto"/>
        <w:ind w:left="720" w:right="-40.8661417322827" w:hanging="360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OBJETO: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Serviços de comunicação de dados para interligação da Sede do TRT ao Fórum Autran Nunes</w:t>
      </w:r>
    </w:p>
    <w:p w:rsidR="00000000" w:rsidDel="00000000" w:rsidP="00000000" w:rsidRDefault="00000000" w:rsidRPr="00000000" w14:paraId="00000008">
      <w:pPr>
        <w:widowControl w:val="0"/>
        <w:spacing w:line="276" w:lineRule="auto"/>
        <w:ind w:right="-40.8661417322827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Especificações: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Serviços de conectividade através de dois circuitos de dados dedicados com disponibilidade de conexão de 24 horas e 7 dias por semana durante toda a contratação.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 disponibilidade efetiva mínima mensal será de 99.95%;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 tecnologia utilizada para tráfego de dados deverá ser implementada utilizando-se fibra ótica ao longo de todo o circuito de ambos os links;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As fibras devem ser “apagadas”, isto é, com origem e terminação no interior das dependências do TRT, sem a utilização de equipamentos ativos de rede.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As fibras óticas utilizadas deverão suportar uma velocidade mínima de 10Gbps, utilizando transceiver WDM bidirecional (1270nm/1330nm).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Em cada extremidade deverá existir um distribuidor ótico interno de altura 1U ou caixa de bloqueio. O equipamento deverá ser afixado em rack indicado pela equipe técnica da CONTRATANTE;</w:t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Deverão ser fornecidos, em comodato, adaptadores GBIC bidirecionais wdm 1270nm/1330NM de 10Gbps, compatíveis com os equipamentos do Tribunal;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Os circuitos devem ser implementados de maneira tal que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ofereçam um caminho físico diferente para cada link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 Deverá ser mantida a distância mínima entre os pares de fibra de 20 (vinte) metros em todo o percurso externo às instalações do Tribunal Regional do Trabalho e Fórum Trabalhista, incluindo os pontos de entrada dos prédios;</w:t>
      </w:r>
    </w:p>
    <w:p w:rsidR="00000000" w:rsidDel="00000000" w:rsidP="00000000" w:rsidRDefault="00000000" w:rsidRPr="00000000" w14:paraId="00000012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 contratada deverá apresentar, no prazo máximo de 15 (quinze) dias após o recebimento definitivo, o mapa do trajeto planejado para o link, garantindo a distância mínima prevista no item anterior;</w:t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Os circuitos deverão ser totalmente independentes, não sendo permitido o compartilhamento de quaisquer componentes físicos;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Os serviços ofertados devem incluir a disponibilização, em regime de comodato, de todos os recursos de conectividade e acessórios para o efetivo funcionamento da solução ofertada;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Todos os equipamentos a serem disponibilizados para suportar os serviços ofertados deverão ser adequados para fixação em RACK padrão 19”. A instalação e fixação destes equipamentos nos RACK do TRT será de responsabilidade da CONTRATADA, nos locais indicados pela equipe técnica do TRT;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Todos os equipamentos a serem disponibilizados e os serviços a serem prestados deverão atender às normas e recomendações da ABNT, ANATEL e de outros órgãos oficiais, bem como seguir a boas práticas baseadas em padrões de entidades reconhecidas internacionalmente (ITU-T, IEEE, EIA/TIA etc.);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 serviço deve ser prestado por empresa autorizada pela ANATEL.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Uma central de atendimento deverá estar disponível 24 horas X 7 dias por semana nos 365 dias do ano para recebimento de chamados técnicos;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2"/>
        </w:numPr>
        <w:spacing w:line="276" w:lineRule="auto"/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Endereços que serão interligados:</w:t>
      </w:r>
    </w:p>
    <w:p w:rsidR="00000000" w:rsidDel="00000000" w:rsidP="00000000" w:rsidRDefault="00000000" w:rsidRPr="00000000" w14:paraId="0000001A">
      <w:pPr>
        <w:pageBreakBefore w:val="0"/>
        <w:widowControl w:val="0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1440" w:right="-39.68503937007875" w:firstLine="0"/>
        <w:jc w:val="both"/>
        <w:rPr>
          <w:rFonts w:ascii="Calibri" w:cs="Calibri" w:eastAsia="Calibri" w:hAnsi="Calibri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309.0" w:type="dxa"/>
        <w:jc w:val="left"/>
        <w:tblInd w:w="7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309"/>
        <w:tblGridChange w:id="0">
          <w:tblGrid>
            <w:gridCol w:w="830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24" w:val="single"/>
              <w:left w:color="000000" w:space="0" w:sz="24" w:val="single"/>
              <w:bottom w:color="000000" w:space="0" w:sz="24" w:val="single"/>
              <w:right w:color="000000" w:space="0" w:sz="2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spacing w:after="240" w:lineRule="auto"/>
              <w:ind w:left="720" w:hanging="360"/>
              <w:jc w:val="both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Circuito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Fibra óptica apagada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para os pontos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2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3"/>
              </w:numPr>
              <w:spacing w:after="37" w:line="276" w:lineRule="auto"/>
              <w:ind w:left="1440" w:hanging="360"/>
              <w:jc w:val="both"/>
              <w:rPr>
                <w:rFonts w:ascii="Noto Sans Symbols" w:cs="Noto Sans Symbols" w:eastAsia="Noto Sans Symbols" w:hAnsi="Noto Sans Symbols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Fórum Trabalhista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Rua Dom Pedro I à altura do nº 1106 CEP: 60.035-101 (esquina com Av. Tristão Gonçalves, 912 - Fórum Autran Nunes - Cep.60015.000 - Fortaleza – Ceará);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2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3"/>
              </w:numPr>
              <w:spacing w:after="37" w:line="276" w:lineRule="auto"/>
              <w:ind w:left="1440" w:hanging="360"/>
              <w:jc w:val="both"/>
              <w:rPr>
                <w:rFonts w:ascii="Noto Sans Symbols" w:cs="Noto Sans Symbols" w:eastAsia="Noto Sans Symbols" w:hAnsi="Noto Sans Symbols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Anexo I da Sede,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Rua Desembargador Leite Albuquerque, 1077 - CEP 60.150-150.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24" w:val="single"/>
              <w:left w:color="000000" w:space="0" w:sz="24" w:val="single"/>
              <w:bottom w:color="000000" w:space="0" w:sz="24" w:val="single"/>
              <w:right w:color="000000" w:space="0" w:sz="2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spacing w:after="240" w:lineRule="auto"/>
              <w:ind w:left="720" w:hanging="360"/>
              <w:jc w:val="both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Circuito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Fibra óptica apagada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para os pontos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2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spacing w:after="37" w:line="276" w:lineRule="auto"/>
              <w:ind w:left="1440" w:hanging="360"/>
              <w:jc w:val="both"/>
              <w:rPr>
                <w:rFonts w:ascii="Noto Sans Symbols" w:cs="Noto Sans Symbols" w:eastAsia="Noto Sans Symbols" w:hAnsi="Noto Sans Symbols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Fórum Trabalhista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Fórum Trabalhista,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Av. Tristão Gonçalves, 912 - Fórum Autran Nunes - Cep.60015.000 - Fortaleza – Ceará);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spacing w:after="37" w:line="276" w:lineRule="auto"/>
              <w:ind w:left="1440" w:hanging="360"/>
              <w:jc w:val="both"/>
              <w:rPr>
                <w:rFonts w:ascii="Noto Sans Symbols" w:cs="Noto Sans Symbols" w:eastAsia="Noto Sans Symbols" w:hAnsi="Noto Sans Symbols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Anexo II da Sede,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Rua Vicente Leite, 1281 - CEP 60.170-150.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2"/>
        </w:numPr>
        <w:ind w:left="720" w:right="-40.8661417322827" w:hanging="360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SERVIÇOS DE SUPORTE TÉCNICO</w:t>
      </w:r>
    </w:p>
    <w:p w:rsidR="00000000" w:rsidDel="00000000" w:rsidP="00000000" w:rsidRDefault="00000000" w:rsidRPr="00000000" w14:paraId="00000026">
      <w:pPr>
        <w:widowControl w:val="0"/>
        <w:ind w:right="-40.8661417322827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ind w:left="1440" w:right="-40.8661417322827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Disponibilizar uma Central de Atendimento com atendimento telefônico (0800 ou ligação local 085) e portal WEB para abertura de solicitações de serviços ou registro de qualquer tipo de ocorrência, bem como o acompanhamento da solução. O serviço de registro de chamados técnicos deverá estar disponível, 24 horas, 7 dias por semana;</w:t>
      </w:r>
    </w:p>
    <w:p w:rsidR="00000000" w:rsidDel="00000000" w:rsidP="00000000" w:rsidRDefault="00000000" w:rsidRPr="00000000" w14:paraId="00000029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 CONTRATADA deverá fornecer, no momento da abertura do chamado, o número que o identifica, devendo ficar também registrado data e hora de abertura do chamado;</w:t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Após a abertura e registro do chamado técnico, a CONTRATADA deverá realizar as ações necessárias para retorno de disponibilidade do link de dados defeituoso.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 chamado técnico somente será considerado encerrado após o contato telefônico da CONTRATADA solicitando teste e validação final para a equipe técnica de fiscalização do TRT, momento no qual a contagem de tempo de indisponibilidade do link de dados se encerra.</w:t>
      </w:r>
    </w:p>
    <w:p w:rsidR="00000000" w:rsidDel="00000000" w:rsidP="00000000" w:rsidRDefault="00000000" w:rsidRPr="00000000" w14:paraId="0000002C">
      <w:pPr>
        <w:widowControl w:val="0"/>
        <w:ind w:left="1440" w:right="-40.8661417322827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ind w:left="720" w:right="-40.8661417322827" w:hanging="360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ACORDO DE NÍVEL DE SERVIÇO</w:t>
      </w:r>
    </w:p>
    <w:p w:rsidR="00000000" w:rsidDel="00000000" w:rsidP="00000000" w:rsidRDefault="00000000" w:rsidRPr="00000000" w14:paraId="0000002E">
      <w:pPr>
        <w:widowControl w:val="0"/>
        <w:ind w:left="0" w:right="-40.8661417322827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Atender e solucionar os chamados técnicos envolvendo solicitações de alteração no trajeto interno de acesso físico nos prédios, realocação de equipamentos da CONTRATADA e mudança de endereço do link de dados, no prazo de até 20 (vinte) dias, sem custos adicionais para o TRT, contados a partir da abertura do chamado técnico (registro do chamado);</w:t>
      </w:r>
    </w:p>
    <w:p w:rsidR="00000000" w:rsidDel="00000000" w:rsidP="00000000" w:rsidRDefault="00000000" w:rsidRPr="00000000" w14:paraId="00000030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Atender e solucionar chamados técnicos de modo a cumprir a disponibilidade mínima mensal estabelecida no caderno de métricas (ANEXO III deste Termo de Referência).</w:t>
      </w:r>
    </w:p>
    <w:p w:rsidR="00000000" w:rsidDel="00000000" w:rsidP="00000000" w:rsidRDefault="00000000" w:rsidRPr="00000000" w14:paraId="00000031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 prazo máximo para a solução de problemas que afetam apenas um dos links de dados (principal ou redundante) e que não resultam em indisponibilidade total e/ou degradação dos serviços, será de 6 (seis) horas.</w:t>
      </w:r>
    </w:p>
    <w:p w:rsidR="00000000" w:rsidDel="00000000" w:rsidP="00000000" w:rsidRDefault="00000000" w:rsidRPr="00000000" w14:paraId="00000032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contagem do tempo de solução é o período temporal entre a data/hora da abertura do chamado (registro do chamado) e a data/hora do retorno do serviço à operação normal. Entretanto, o tempo de solução não se confunde com o tempo total de indisponibilidade que é o tempo real em que o serviço de conectividade permaneceu indisponível.</w:t>
      </w:r>
    </w:p>
    <w:p w:rsidR="00000000" w:rsidDel="00000000" w:rsidP="00000000" w:rsidRDefault="00000000" w:rsidRPr="00000000" w14:paraId="00000033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Em caso de necessidade de interrupção programada para manutenção preventiva, a contratada deverá entrar em contato com a contratante com antecedência mínima de 2 (dois) dias úteis, para agendar em comum acordo a data e hora da interrupção, bem como a duração da interrupção, devendo ser, preferencialmente, executados em horários não comerciais.</w:t>
      </w:r>
    </w:p>
    <w:p w:rsidR="00000000" w:rsidDel="00000000" w:rsidP="00000000" w:rsidRDefault="00000000" w:rsidRPr="00000000" w14:paraId="00000034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Por se tratar de links de comunicação redundantes, as interrupções programadas não devem indisponibilizar os dois links simultaneamente, exceto em casos devidamente justificados e acordados com a CONTRATANTE.</w:t>
      </w:r>
    </w:p>
    <w:p w:rsidR="00000000" w:rsidDel="00000000" w:rsidP="00000000" w:rsidRDefault="00000000" w:rsidRPr="00000000" w14:paraId="00000035">
      <w:pPr>
        <w:widowControl w:val="0"/>
        <w:numPr>
          <w:ilvl w:val="1"/>
          <w:numId w:val="2"/>
        </w:numPr>
        <w:ind w:left="1440" w:right="-40.8661417322827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Não serão computadas no cálculo da disponibilidade mensal até 4 (quatro) interrupções anuais do serviço,  a serem utilizadas como janelas para manutenção preventiva, somente se agendadas em comum acordo com a contratante, observado o prazo do item 3.6 acima.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pageBreakBefore w:val="0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ageBreakBefore w:val="0"/>
      <w:jc w:val="center"/>
      <w:rPr/>
    </w:pPr>
    <w:r w:rsidDel="00000000" w:rsidR="00000000" w:rsidRPr="00000000">
      <w:rPr/>
      <w:drawing>
        <wp:inline distB="114300" distT="114300" distL="114300" distR="114300">
          <wp:extent cx="690563" cy="718749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71874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pageBreakBefore w:val="0"/>
      <w:jc w:val="center"/>
      <w:rPr/>
    </w:pPr>
    <w:r w:rsidDel="00000000" w:rsidR="00000000" w:rsidRPr="00000000">
      <w:rPr>
        <w:rtl w:val="0"/>
      </w:rPr>
      <w:t xml:space="preserve">PODER JUDICIÁRIO</w:t>
    </w:r>
  </w:p>
  <w:p w:rsidR="00000000" w:rsidDel="00000000" w:rsidP="00000000" w:rsidRDefault="00000000" w:rsidRPr="00000000" w14:paraId="00000038">
    <w:pPr>
      <w:pageBreakBefore w:val="0"/>
      <w:jc w:val="center"/>
      <w:rPr/>
    </w:pPr>
    <w:r w:rsidDel="00000000" w:rsidR="00000000" w:rsidRPr="00000000">
      <w:rPr>
        <w:rtl w:val="0"/>
      </w:rPr>
      <w:t xml:space="preserve">JUSTIÇA DO TRABALHO</w:t>
    </w:r>
  </w:p>
  <w:p w:rsidR="00000000" w:rsidDel="00000000" w:rsidP="00000000" w:rsidRDefault="00000000" w:rsidRPr="00000000" w14:paraId="00000039">
    <w:pPr>
      <w:pageBreakBefore w:val="0"/>
      <w:jc w:val="center"/>
      <w:rPr/>
    </w:pPr>
    <w:r w:rsidDel="00000000" w:rsidR="00000000" w:rsidRPr="00000000">
      <w:rPr>
        <w:rtl w:val="0"/>
      </w:rPr>
      <w:t xml:space="preserve">TRIBUNAL REGIONAL DO TRABALHO DA 7ª REGIÃO</w:t>
    </w:r>
  </w:p>
  <w:p w:rsidR="00000000" w:rsidDel="00000000" w:rsidP="00000000" w:rsidRDefault="00000000" w:rsidRPr="00000000" w14:paraId="0000003A">
    <w:pPr>
      <w:pageBreakBefore w:val="0"/>
      <w:jc w:val="center"/>
      <w:rPr>
        <w:rFonts w:ascii="Calibri" w:cs="Calibri" w:eastAsia="Calibri" w:hAnsi="Calibri"/>
        <w:b w:val="1"/>
        <w:sz w:val="24"/>
        <w:szCs w:val="24"/>
      </w:rPr>
    </w:pPr>
    <w:r w:rsidDel="00000000" w:rsidR="00000000" w:rsidRPr="00000000">
      <w:rPr>
        <w:rFonts w:ascii="Calibri" w:cs="Calibri" w:eastAsia="Calibri" w:hAnsi="Calibri"/>
        <w:b w:val="1"/>
        <w:sz w:val="24"/>
        <w:szCs w:val="24"/>
        <w:rtl w:val="0"/>
      </w:rPr>
      <w:t xml:space="preserve">SECRETARIA DE TECNOLOGIA DA INFORMAÇÃO</w:t>
    </w:r>
  </w:p>
  <w:p w:rsidR="00000000" w:rsidDel="00000000" w:rsidP="00000000" w:rsidRDefault="00000000" w:rsidRPr="00000000" w14:paraId="0000003B">
    <w:pPr>
      <w:pageBreakBefore w:val="0"/>
      <w:jc w:val="center"/>
      <w:rPr>
        <w:rFonts w:ascii="Calibri" w:cs="Calibri" w:eastAsia="Calibri" w:hAnsi="Calibri"/>
        <w:b w:val="1"/>
        <w:sz w:val="24"/>
        <w:szCs w:val="24"/>
      </w:rPr>
    </w:pPr>
    <w:r w:rsidDel="00000000" w:rsidR="00000000" w:rsidRPr="00000000">
      <w:rPr>
        <w:rFonts w:ascii="Calibri" w:cs="Calibri" w:eastAsia="Calibri" w:hAnsi="Calibri"/>
        <w:b w:val="1"/>
        <w:sz w:val="24"/>
        <w:szCs w:val="24"/>
        <w:rtl w:val="0"/>
      </w:rPr>
      <w:t xml:space="preserve">___________________________________________________________________________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◦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•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◦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240" w:hanging="360"/>
      </w:pPr>
      <w:rPr>
        <w:u w:val="none"/>
      </w:rPr>
    </w:lvl>
    <w:lvl w:ilvl="6">
      <w:start w:val="1"/>
      <w:numFmt w:val="bullet"/>
      <w:lvlText w:val="•"/>
      <w:lvlJc w:val="left"/>
      <w:pPr>
        <w:ind w:left="3600" w:hanging="360"/>
      </w:pPr>
      <w:rPr>
        <w:u w:val="none"/>
      </w:rPr>
    </w:lvl>
    <w:lvl w:ilvl="7">
      <w:start w:val="1"/>
      <w:numFmt w:val="bullet"/>
      <w:lvlText w:val="◦"/>
      <w:lvlJc w:val="left"/>
      <w:pPr>
        <w:ind w:left="39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43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